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ДОПОЛНИТЕЛЬНАЯ ИНФОРМАЦИЯ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47700" cy="647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028500" y="3462500"/>
                          <a:ext cx="635000" cy="635000"/>
                        </a:xfrm>
                        <a:custGeom>
                          <a:rect b="b" l="l" r="r" t="t"/>
                          <a:pathLst>
                            <a:path extrusionOk="0" h="635000" w="635000">
                              <a:moveTo>
                                <a:pt x="0" y="0"/>
                              </a:moveTo>
                              <a:lnTo>
                                <a:pt x="635000" y="0"/>
                              </a:lnTo>
                            </a:path>
                            <a:path extrusionOk="0" h="635000" w="635000">
                              <a:moveTo>
                                <a:pt x="0" y="635000"/>
                              </a:moveTo>
                              <a:lnTo>
                                <a:pt x="635000" y="635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47700" cy="647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647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о биологически активной добавке к пище</w:t>
      </w:r>
    </w:p>
    <w:p w:rsidR="00000000" w:rsidDel="00000000" w:rsidP="00000000" w:rsidRDefault="00000000" w:rsidRPr="00000000" w14:paraId="00000003">
      <w:pPr>
        <w:spacing w:line="240" w:lineRule="auto"/>
        <w:jc w:val="right"/>
        <w:rPr>
          <w:color w:val="000000"/>
          <w:sz w:val="16"/>
          <w:szCs w:val="16"/>
        </w:rPr>
      </w:pPr>
      <w:r w:rsidDel="00000000" w:rsidR="00000000" w:rsidRPr="00000000">
        <w:rPr>
          <w:color w:val="000000"/>
          <w:sz w:val="16"/>
          <w:szCs w:val="16"/>
          <w:rtl w:val="0"/>
        </w:rPr>
        <w:t xml:space="preserve">«Ликопин ВИТАМИР® 10 мг»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sz w:val="16"/>
          <w:szCs w:val="16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Ликопин ВИТАМИР® 10 мг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Ликопин относится к классу природных каротиноидов (пигменты). Он является пигментом красного цвета и придает соответствующую окраску помидорам и некоторым другим овощам и фруктам, в которых содержится.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16"/>
          <w:szCs w:val="16"/>
          <w:rtl w:val="0"/>
        </w:rPr>
        <w:t xml:space="preserve">Благодаря своим мощнейшим антиоксидантным свойствам ликопин является одним из полезнейших соединений для человека, защищая организм от окислительного стресса. Наш организм неспособен синтезировать ликопин самостоятельно, поэтому необходимо употреблять в пищу красные овощи, фрукты, или, в качестве альтернативы, можно обогащать свой рацион пищевыми добавками.  Примечательно, что при употреблении ликопинсодержащих продуктов в сыром виде он усваивается организмом в незначительных количествах. При их термической обработке концентрация ликопина увеличивается, однако даже в этом случае его может быть недостаточно.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color w:val="000000"/>
          <w:sz w:val="16"/>
          <w:szCs w:val="16"/>
        </w:rPr>
      </w:pPr>
      <w:r w:rsidDel="00000000" w:rsidR="00000000" w:rsidRPr="00000000">
        <w:rPr>
          <w:b w:val="1"/>
          <w:color w:val="000000"/>
          <w:sz w:val="16"/>
          <w:szCs w:val="16"/>
          <w:rtl w:val="0"/>
        </w:rPr>
        <w:t xml:space="preserve">«Ликопин ВИТАМИР® 10 мг» </w:t>
      </w:r>
      <w:r w:rsidDel="00000000" w:rsidR="00000000" w:rsidRPr="00000000">
        <w:rPr>
          <w:color w:val="000000"/>
          <w:sz w:val="16"/>
          <w:szCs w:val="16"/>
          <w:rtl w:val="0"/>
        </w:rPr>
        <w:t xml:space="preserve">-  биологически активная добавка к пище, содержащая ликопин, который препятствует развитию окислительного стресса, создавая условия для поддержания нормальной жизнедеятельности организма. 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sz w:val="16"/>
          <w:szCs w:val="16"/>
        </w:rPr>
      </w:pPr>
      <w:r w:rsidDel="00000000" w:rsidR="00000000" w:rsidRPr="00000000">
        <w:rPr>
          <w:b w:val="1"/>
          <w:i w:val="1"/>
          <w:sz w:val="16"/>
          <w:szCs w:val="16"/>
          <w:rtl w:val="0"/>
        </w:rPr>
        <w:t xml:space="preserve">Состав: </w:t>
      </w:r>
      <w:r w:rsidDel="00000000" w:rsidR="00000000" w:rsidRPr="00000000">
        <w:rPr>
          <w:color w:val="000000"/>
          <w:sz w:val="16"/>
          <w:szCs w:val="16"/>
          <w:rtl w:val="0"/>
        </w:rPr>
        <w:t xml:space="preserve">микрокристаллическая целлюлоза (носитель)</w:t>
      </w:r>
      <w:r w:rsidDel="00000000" w:rsidR="00000000" w:rsidRPr="00000000">
        <w:rPr>
          <w:sz w:val="16"/>
          <w:szCs w:val="16"/>
          <w:rtl w:val="0"/>
        </w:rPr>
        <w:t xml:space="preserve">, экстракт томата, поливинилпирролидон (стабилизатор), </w:t>
      </w:r>
      <w:r w:rsidDel="00000000" w:rsidR="00000000" w:rsidRPr="00000000">
        <w:rPr>
          <w:color w:val="000000"/>
          <w:sz w:val="16"/>
          <w:szCs w:val="16"/>
          <w:rtl w:val="0"/>
        </w:rPr>
        <w:t xml:space="preserve">магниевая соль стеариновой кислоты (агент антислеживающий)</w:t>
      </w:r>
      <w:r w:rsidDel="00000000" w:rsidR="00000000" w:rsidRPr="00000000">
        <w:rPr>
          <w:sz w:val="16"/>
          <w:szCs w:val="16"/>
          <w:rtl w:val="0"/>
        </w:rPr>
        <w:t xml:space="preserve">, </w:t>
      </w:r>
      <w:r w:rsidDel="00000000" w:rsidR="00000000" w:rsidRPr="00000000">
        <w:rPr>
          <w:i w:val="1"/>
          <w:sz w:val="16"/>
          <w:szCs w:val="16"/>
          <w:rtl w:val="0"/>
        </w:rPr>
        <w:t xml:space="preserve">оболочка таблетки: </w:t>
      </w:r>
      <w:r w:rsidDel="00000000" w:rsidR="00000000" w:rsidRPr="00000000">
        <w:rPr>
          <w:sz w:val="16"/>
          <w:szCs w:val="16"/>
          <w:rtl w:val="0"/>
        </w:rPr>
        <w:t xml:space="preserve">гидроксипропилметилцеллюлоза (загуститель), полиэтиленгликоль (стабилизатор),  диоксид титана (краситель), тальк (агент антислеживающий), оксид железа красный (краситель).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Биологически активная добавка к пище </w:t>
      </w:r>
      <w:r w:rsidDel="00000000" w:rsidR="00000000" w:rsidRPr="00000000">
        <w:rPr>
          <w:color w:val="000000"/>
          <w:sz w:val="16"/>
          <w:szCs w:val="16"/>
          <w:rtl w:val="0"/>
        </w:rPr>
        <w:t xml:space="preserve">«Ликопин ВИТАМИР® 10 мг»</w:t>
      </w:r>
      <w:r w:rsidDel="00000000" w:rsidR="00000000" w:rsidRPr="00000000">
        <w:rPr>
          <w:sz w:val="16"/>
          <w:szCs w:val="16"/>
          <w:rtl w:val="0"/>
        </w:rPr>
        <w:t xml:space="preserve"> (таблетки покрытые оболочкой массой 550 мг ± 10%) </w:t>
      </w:r>
    </w:p>
    <w:tbl>
      <w:tblPr>
        <w:tblStyle w:val="Table1"/>
        <w:tblW w:w="6881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1"/>
        <w:gridCol w:w="1134"/>
        <w:gridCol w:w="1197"/>
        <w:gridCol w:w="1145"/>
        <w:gridCol w:w="860"/>
        <w:gridCol w:w="1444"/>
        <w:tblGridChange w:id="0">
          <w:tblGrid>
            <w:gridCol w:w="1101"/>
            <w:gridCol w:w="1134"/>
            <w:gridCol w:w="1197"/>
            <w:gridCol w:w="1145"/>
            <w:gridCol w:w="860"/>
            <w:gridCol w:w="1444"/>
          </w:tblGrid>
        </w:tblGridChange>
      </w:tblGrid>
      <w:tr>
        <w:trPr>
          <w:cantSplit w:val="0"/>
          <w:trHeight w:val="96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Компонент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Содержание</w:t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в 1 таблетке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sz w:val="16"/>
                <w:szCs w:val="16"/>
                <w:vertAlign w:val="superscript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Адекватный уровень потребления</w:t>
            </w:r>
            <w:r w:rsidDel="00000000" w:rsidR="00000000" w:rsidRPr="00000000">
              <w:rPr>
                <w:sz w:val="16"/>
                <w:szCs w:val="16"/>
                <w:vertAlign w:val="superscript"/>
                <w:rtl w:val="0"/>
              </w:rPr>
              <w:t xml:space="preserve">1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sz w:val="16"/>
                <w:szCs w:val="16"/>
                <w:vertAlign w:val="superscript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Верхний допустимый уровень потребления¹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Суточная доза (1 таблетка) содержит</w:t>
            </w:r>
          </w:p>
        </w:tc>
      </w:tr>
      <w:tr>
        <w:trPr>
          <w:cantSplit w:val="0"/>
          <w:trHeight w:val="57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Количество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% от адекватного уровня потребления¹</w:t>
            </w:r>
          </w:p>
        </w:tc>
      </w:tr>
      <w:tr>
        <w:trPr>
          <w:cantSplit w:val="0"/>
          <w:trHeight w:val="57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Экстракт томата,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в т.ч. ликопин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200 мг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8-10 мг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 мг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 мг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200 мг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8-10 мг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160*-200*</w:t>
            </w:r>
          </w:p>
        </w:tc>
      </w:tr>
    </w:tbl>
    <w:p w:rsidR="00000000" w:rsidDel="00000000" w:rsidP="00000000" w:rsidRDefault="00000000" w:rsidRPr="00000000" w14:paraId="00000027">
      <w:pPr>
        <w:spacing w:after="0" w:before="120" w:line="240" w:lineRule="auto"/>
        <w:jc w:val="both"/>
        <w:rPr>
          <w:sz w:val="12"/>
          <w:szCs w:val="12"/>
        </w:rPr>
      </w:pPr>
      <w:r w:rsidDel="00000000" w:rsidR="00000000" w:rsidRPr="00000000">
        <w:rPr>
          <w:sz w:val="12"/>
          <w:szCs w:val="12"/>
          <w:vertAlign w:val="superscript"/>
          <w:rtl w:val="0"/>
        </w:rPr>
        <w:t xml:space="preserve">1</w:t>
      </w:r>
      <w:r w:rsidDel="00000000" w:rsidR="00000000" w:rsidRPr="00000000">
        <w:rPr>
          <w:sz w:val="12"/>
          <w:szCs w:val="12"/>
          <w:rtl w:val="0"/>
        </w:rPr>
        <w:t xml:space="preserve"> - согласно «Единым санитарно-эпидемиологическим и гигиеническим требованиям к товарам, подлежащим санитарно-эпидемиологическому надзору (контролю)» (Глава II, раздел 1, Приложение 5);</w:t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* - не превышает верхний допустимый уровень потребления согласно </w:t>
      </w:r>
      <w:r w:rsidDel="00000000" w:rsidR="00000000" w:rsidRPr="00000000">
        <w:rPr>
          <w:sz w:val="12"/>
          <w:szCs w:val="12"/>
          <w:vertAlign w:val="superscript"/>
          <w:rtl w:val="0"/>
        </w:rPr>
        <w:t xml:space="preserve">1</w:t>
      </w:r>
      <w:r w:rsidDel="00000000" w:rsidR="00000000" w:rsidRPr="00000000">
        <w:rPr>
          <w:sz w:val="12"/>
          <w:szCs w:val="12"/>
          <w:rtl w:val="0"/>
        </w:rPr>
        <w:t xml:space="preserve">.</w:t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b w:val="1"/>
          <w:i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120" w:line="240" w:lineRule="auto"/>
        <w:jc w:val="both"/>
        <w:rPr>
          <w:b w:val="1"/>
          <w:i w:val="1"/>
          <w:sz w:val="16"/>
          <w:szCs w:val="16"/>
        </w:rPr>
      </w:pPr>
      <w:r w:rsidDel="00000000" w:rsidR="00000000" w:rsidRPr="00000000">
        <w:rPr>
          <w:b w:val="1"/>
          <w:i w:val="1"/>
          <w:sz w:val="16"/>
          <w:szCs w:val="16"/>
          <w:rtl w:val="0"/>
        </w:rPr>
        <w:t xml:space="preserve">Информация о биологически активных веществах и их свойствах:</w:t>
      </w:r>
    </w:p>
    <w:p w:rsidR="00000000" w:rsidDel="00000000" w:rsidP="00000000" w:rsidRDefault="00000000" w:rsidRPr="00000000" w14:paraId="0000002B">
      <w:pPr>
        <w:spacing w:before="120" w:line="240" w:lineRule="auto"/>
        <w:jc w:val="both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Ликопин - </w:t>
      </w:r>
      <w:r w:rsidDel="00000000" w:rsidR="00000000" w:rsidRPr="00000000">
        <w:rPr>
          <w:sz w:val="16"/>
          <w:szCs w:val="16"/>
          <w:rtl w:val="0"/>
        </w:rPr>
        <w:t xml:space="preserve">самый сильный антиоксидант среди каротиноидов, который препятствует развитию окислительного стресса, обеспечивая защиту ДНК от повреждений свободными радикалами.</w:t>
      </w:r>
      <w:r w:rsidDel="00000000" w:rsidR="00000000" w:rsidRPr="00000000">
        <w:rPr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sz w:val="16"/>
          <w:szCs w:val="16"/>
          <w:rtl w:val="0"/>
        </w:rPr>
        <w:t xml:space="preserve">Данный каротиноид благоприятно влияет на функционирование сердечно-сосудистой системы. Благодаря своему антиоксидантному действию препятствует окислению «плохого» холестерина, а следовательно, и его отложению на стенках сосудов и органов.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before="120" w:line="240" w:lineRule="auto"/>
        <w:jc w:val="both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Ликопин</w:t>
      </w:r>
      <w:r w:rsidDel="00000000" w:rsidR="00000000" w:rsidRPr="00000000">
        <w:rPr>
          <w:sz w:val="16"/>
          <w:szCs w:val="16"/>
          <w:rtl w:val="0"/>
        </w:rPr>
        <w:t xml:space="preserve"> также принимает участие в защите эпителия и сосудистой оболочки сетчатки глаза от прямого воздействия света, способствует положительному влиянию на функции легких и защите кожи от фотоповреждений.</w:t>
      </w:r>
    </w:p>
    <w:p w:rsidR="00000000" w:rsidDel="00000000" w:rsidP="00000000" w:rsidRDefault="00000000" w:rsidRPr="00000000" w14:paraId="0000002D">
      <w:pPr>
        <w:spacing w:before="240" w:line="240" w:lineRule="auto"/>
        <w:jc w:val="both"/>
        <w:rPr>
          <w:color w:val="000000"/>
          <w:sz w:val="16"/>
          <w:szCs w:val="16"/>
          <w:highlight w:val="white"/>
        </w:rPr>
      </w:pPr>
      <w:r w:rsidDel="00000000" w:rsidR="00000000" w:rsidRPr="00000000">
        <w:rPr>
          <w:b w:val="1"/>
          <w:i w:val="1"/>
          <w:sz w:val="16"/>
          <w:szCs w:val="16"/>
          <w:rtl w:val="0"/>
        </w:rPr>
        <w:t xml:space="preserve">Область применения:</w:t>
      </w:r>
      <w:bookmarkStart w:colFirst="0" w:colLast="0" w:name="bookmark=id.gjdgxs" w:id="0"/>
      <w:bookmarkEnd w:id="0"/>
      <w:r w:rsidDel="00000000" w:rsidR="00000000" w:rsidRPr="00000000">
        <w:rPr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color w:val="000000"/>
          <w:sz w:val="16"/>
          <w:szCs w:val="16"/>
          <w:highlight w:val="white"/>
          <w:rtl w:val="0"/>
        </w:rPr>
        <w:t xml:space="preserve">в качестве биологически активной добавки к пище - источника ликопина. БАД, не является лекарственным средством.</w:t>
      </w:r>
    </w:p>
    <w:p w:rsidR="00000000" w:rsidDel="00000000" w:rsidP="00000000" w:rsidRDefault="00000000" w:rsidRPr="00000000" w14:paraId="0000002E">
      <w:pPr>
        <w:spacing w:line="240" w:lineRule="auto"/>
        <w:jc w:val="both"/>
        <w:rPr>
          <w:rFonts w:ascii="Times" w:cs="Times" w:eastAsia="Times" w:hAnsi="Times"/>
          <w:color w:val="000000"/>
          <w:sz w:val="27"/>
          <w:szCs w:val="27"/>
          <w:highlight w:val="white"/>
        </w:rPr>
      </w:pPr>
      <w:r w:rsidDel="00000000" w:rsidR="00000000" w:rsidRPr="00000000">
        <w:rPr>
          <w:b w:val="1"/>
          <w:i w:val="1"/>
          <w:sz w:val="16"/>
          <w:szCs w:val="16"/>
          <w:rtl w:val="0"/>
        </w:rPr>
        <w:t xml:space="preserve">Противопоказания:</w:t>
      </w:r>
      <w:r w:rsidDel="00000000" w:rsidR="00000000" w:rsidRPr="00000000">
        <w:rPr>
          <w:sz w:val="16"/>
          <w:szCs w:val="16"/>
          <w:rtl w:val="0"/>
        </w:rPr>
        <w:t xml:space="preserve"> </w:t>
      </w:r>
      <w:bookmarkStart w:colFirst="0" w:colLast="0" w:name="bookmark=id.30j0zll" w:id="1"/>
      <w:bookmarkEnd w:id="1"/>
      <w:bookmarkStart w:colFirst="0" w:colLast="0" w:name="bookmark=id.1fob9te" w:id="2"/>
      <w:bookmarkEnd w:id="2"/>
      <w:r w:rsidDel="00000000" w:rsidR="00000000" w:rsidRPr="00000000">
        <w:rPr>
          <w:color w:val="000000"/>
          <w:sz w:val="16"/>
          <w:szCs w:val="16"/>
          <w:highlight w:val="white"/>
          <w:rtl w:val="0"/>
        </w:rPr>
        <w:t xml:space="preserve">индивидуальная непереносимость компонентов БАД, беременность, кормление грудью. Перед применением рекомендуется проконсультироваться с врачом.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sz w:val="16"/>
          <w:szCs w:val="16"/>
        </w:rPr>
      </w:pPr>
      <w:r w:rsidDel="00000000" w:rsidR="00000000" w:rsidRPr="00000000">
        <w:rPr>
          <w:b w:val="1"/>
          <w:i w:val="1"/>
          <w:sz w:val="16"/>
          <w:szCs w:val="16"/>
          <w:rtl w:val="0"/>
        </w:rPr>
        <w:t xml:space="preserve">Способ применения и дозы:  </w:t>
      </w:r>
      <w:bookmarkStart w:colFirst="0" w:colLast="0" w:name="bookmark=id.3dy6vkm" w:id="3"/>
      <w:bookmarkEnd w:id="3"/>
      <w:bookmarkStart w:colFirst="0" w:colLast="0" w:name="bookmark=id.2et92p0" w:id="4"/>
      <w:bookmarkEnd w:id="4"/>
      <w:bookmarkStart w:colFirst="0" w:colLast="0" w:name="bookmark=id.3znysh7" w:id="5"/>
      <w:bookmarkEnd w:id="5"/>
      <w:bookmarkStart w:colFirst="0" w:colLast="0" w:name="bookmark=id.tyjcwt" w:id="6"/>
      <w:bookmarkEnd w:id="6"/>
      <w:r w:rsidDel="00000000" w:rsidR="00000000" w:rsidRPr="00000000">
        <w:rPr>
          <w:color w:val="000000"/>
          <w:sz w:val="16"/>
          <w:szCs w:val="16"/>
          <w:highlight w:val="white"/>
          <w:rtl w:val="0"/>
        </w:rPr>
        <w:t xml:space="preserve">взрослым по 1 таблетке 1 раз в день во время еды. Продолжительность приема - 1 месяц. При необходимости прием можно повторить.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before="120" w:line="240" w:lineRule="auto"/>
        <w:jc w:val="both"/>
        <w:rPr>
          <w:b w:val="1"/>
          <w:i w:val="1"/>
          <w:sz w:val="16"/>
          <w:szCs w:val="16"/>
        </w:rPr>
      </w:pPr>
      <w:r w:rsidDel="00000000" w:rsidR="00000000" w:rsidRPr="00000000">
        <w:rPr>
          <w:b w:val="1"/>
          <w:i w:val="1"/>
          <w:sz w:val="16"/>
          <w:szCs w:val="16"/>
          <w:rtl w:val="0"/>
        </w:rPr>
        <w:t xml:space="preserve">Условия хранения: </w:t>
      </w:r>
      <w:r w:rsidDel="00000000" w:rsidR="00000000" w:rsidRPr="00000000">
        <w:rPr>
          <w:color w:val="000000"/>
          <w:sz w:val="16"/>
          <w:szCs w:val="16"/>
          <w:highlight w:val="white"/>
          <w:rtl w:val="0"/>
        </w:rPr>
        <w:t xml:space="preserve">в защищенном от прямых солнечных лучей и недоступном для детей месте при температуре не выше 25° С.</w:t>
      </w:r>
      <w:r w:rsidDel="00000000" w:rsidR="00000000" w:rsidRPr="00000000">
        <w:rPr>
          <w:rtl w:val="0"/>
        </w:rPr>
      </w:r>
    </w:p>
    <w:bookmarkStart w:colFirst="0" w:colLast="0" w:name="bookmark=id.1t3h5sf" w:id="7"/>
    <w:bookmarkEnd w:id="7"/>
    <w:p w:rsidR="00000000" w:rsidDel="00000000" w:rsidP="00000000" w:rsidRDefault="00000000" w:rsidRPr="00000000" w14:paraId="00000031">
      <w:pPr>
        <w:spacing w:after="0" w:before="120" w:line="240" w:lineRule="auto"/>
        <w:rPr>
          <w:b w:val="1"/>
          <w:i w:val="1"/>
          <w:sz w:val="16"/>
          <w:szCs w:val="16"/>
        </w:rPr>
      </w:pPr>
      <w:r w:rsidDel="00000000" w:rsidR="00000000" w:rsidRPr="00000000">
        <w:rPr>
          <w:b w:val="1"/>
          <w:i w:val="1"/>
          <w:sz w:val="16"/>
          <w:szCs w:val="16"/>
          <w:rtl w:val="0"/>
        </w:rPr>
        <w:t xml:space="preserve">Срок годности: </w:t>
      </w:r>
      <w:r w:rsidDel="00000000" w:rsidR="00000000" w:rsidRPr="00000000">
        <w:rPr>
          <w:sz w:val="16"/>
          <w:szCs w:val="16"/>
          <w:rtl w:val="0"/>
        </w:rPr>
        <w:t xml:space="preserve"> 2 года.</w:t>
      </w:r>
      <w:r w:rsidDel="00000000" w:rsidR="00000000" w:rsidRPr="00000000">
        <w:rPr>
          <w:rtl w:val="0"/>
        </w:rPr>
      </w:r>
    </w:p>
    <w:bookmarkStart w:colFirst="0" w:colLast="0" w:name="bookmark=id.4d34og8" w:id="8"/>
    <w:bookmarkEnd w:id="8"/>
    <w:p w:rsidR="00000000" w:rsidDel="00000000" w:rsidP="00000000" w:rsidRDefault="00000000" w:rsidRPr="00000000" w14:paraId="00000032">
      <w:pPr>
        <w:spacing w:after="0" w:before="120" w:line="240" w:lineRule="auto"/>
        <w:rPr>
          <w:b w:val="1"/>
          <w:i w:val="1"/>
          <w:sz w:val="16"/>
          <w:szCs w:val="16"/>
        </w:rPr>
      </w:pPr>
      <w:r w:rsidDel="00000000" w:rsidR="00000000" w:rsidRPr="00000000">
        <w:rPr>
          <w:b w:val="1"/>
          <w:i w:val="1"/>
          <w:color w:val="000000"/>
          <w:sz w:val="16"/>
          <w:szCs w:val="16"/>
          <w:highlight w:val="white"/>
          <w:rtl w:val="0"/>
        </w:rPr>
        <w:t xml:space="preserve">Места реализации</w:t>
      </w:r>
      <w:r w:rsidDel="00000000" w:rsidR="00000000" w:rsidRPr="00000000">
        <w:rPr>
          <w:color w:val="000000"/>
          <w:sz w:val="16"/>
          <w:szCs w:val="16"/>
          <w:highlight w:val="white"/>
          <w:rtl w:val="0"/>
        </w:rPr>
        <w:t xml:space="preserve"> определяются национальным законодательством государств-членов Евразийского экономического союза.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120" w:line="240" w:lineRule="auto"/>
        <w:rPr>
          <w:i w:val="1"/>
          <w:sz w:val="16"/>
          <w:szCs w:val="16"/>
        </w:rPr>
      </w:pPr>
      <w:r w:rsidDel="00000000" w:rsidR="00000000" w:rsidRPr="00000000">
        <w:rPr>
          <w:b w:val="1"/>
          <w:i w:val="1"/>
          <w:sz w:val="16"/>
          <w:szCs w:val="16"/>
          <w:rtl w:val="0"/>
        </w:rPr>
        <w:t xml:space="preserve">Производитель/Организация, принимающая претензии потребителей: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ООО «Квадрат-С», РФ, 115230, г. Москва, вн. тер. г. м. о. Нагатино-Садовники, пр-д Хлебозаводский, д. 7, стр. 10, этаж 2, помещ. 223, тел./факс: 8 (495) 230-01-17.</w:t>
      </w:r>
    </w:p>
    <w:p w:rsidR="00000000" w:rsidDel="00000000" w:rsidP="00000000" w:rsidRDefault="00000000" w:rsidRPr="00000000" w14:paraId="00000035">
      <w:pPr>
        <w:spacing w:after="0"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Электронная почта: info@kvadrat-c.ru</w:t>
      </w:r>
    </w:p>
    <w:p w:rsidR="00000000" w:rsidDel="00000000" w:rsidP="00000000" w:rsidRDefault="00000000" w:rsidRPr="00000000" w14:paraId="00000036">
      <w:pPr>
        <w:spacing w:after="0"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Адрес в интернете: </w:t>
      </w:r>
      <w:hyperlink r:id="rId8">
        <w:r w:rsidDel="00000000" w:rsidR="00000000" w:rsidRPr="00000000">
          <w:rPr>
            <w:color w:val="0000ff"/>
            <w:sz w:val="16"/>
            <w:szCs w:val="16"/>
            <w:u w:val="single"/>
            <w:rtl w:val="0"/>
          </w:rPr>
          <w:t xml:space="preserve">www.kvadrat</w:t>
        </w:r>
      </w:hyperlink>
      <w:r w:rsidDel="00000000" w:rsidR="00000000" w:rsidRPr="00000000">
        <w:rPr>
          <w:sz w:val="16"/>
          <w:szCs w:val="16"/>
          <w:rtl w:val="0"/>
        </w:rPr>
        <w:t xml:space="preserve">-c.ru</w:t>
      </w:r>
    </w:p>
    <w:p w:rsidR="00000000" w:rsidDel="00000000" w:rsidP="00000000" w:rsidRDefault="00000000" w:rsidRPr="00000000" w14:paraId="00000037">
      <w:pPr>
        <w:spacing w:after="0" w:before="120" w:line="240" w:lineRule="auto"/>
        <w:rPr>
          <w:b w:val="1"/>
          <w:sz w:val="16"/>
          <w:szCs w:val="16"/>
        </w:rPr>
      </w:pPr>
      <w:r w:rsidDel="00000000" w:rsidR="00000000" w:rsidRPr="00000000">
        <w:rPr>
          <w:b w:val="1"/>
          <w:i w:val="1"/>
          <w:sz w:val="16"/>
          <w:szCs w:val="16"/>
          <w:rtl w:val="0"/>
        </w:rPr>
        <w:t xml:space="preserve">Адрес производства:</w:t>
      </w:r>
      <w:r w:rsidDel="00000000" w:rsidR="00000000" w:rsidRPr="00000000">
        <w:rPr>
          <w:b w:val="1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38">
      <w:pPr>
        <w:spacing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РФ, 612711, Кировская область, Омутнинский район, пгт. Восточный, ул. Заводская, д. 1, тел.:</w:t>
      </w:r>
      <w:r w:rsidDel="00000000" w:rsidR="00000000" w:rsidRPr="00000000">
        <w:rPr>
          <w:color w:val="ffffff"/>
          <w:sz w:val="16"/>
          <w:szCs w:val="16"/>
          <w:rtl w:val="0"/>
        </w:rPr>
        <w:t xml:space="preserve">_</w:t>
      </w:r>
      <w:r w:rsidDel="00000000" w:rsidR="00000000" w:rsidRPr="00000000">
        <w:rPr>
          <w:sz w:val="16"/>
          <w:szCs w:val="16"/>
          <w:rtl w:val="0"/>
        </w:rPr>
        <w:t xml:space="preserve">8 (83352) 33-7-94.</w:t>
      </w:r>
    </w:p>
    <w:p w:rsidR="00000000" w:rsidDel="00000000" w:rsidP="00000000" w:rsidRDefault="00000000" w:rsidRPr="00000000" w14:paraId="00000039">
      <w:pPr>
        <w:spacing w:after="0" w:line="240" w:lineRule="auto"/>
        <w:rPr>
          <w:sz w:val="16"/>
          <w:szCs w:val="16"/>
        </w:rPr>
      </w:pPr>
      <w:r w:rsidDel="00000000" w:rsidR="00000000" w:rsidRPr="00000000">
        <w:rPr>
          <w:b w:val="1"/>
          <w:i w:val="1"/>
          <w:color w:val="000000"/>
          <w:sz w:val="16"/>
          <w:szCs w:val="16"/>
          <w:rtl w:val="0"/>
        </w:rPr>
        <w:t xml:space="preserve">Свидетельство о государственной регистрации: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RU.77.99.11.003.R.000722.03.21 от 09.03.2021</w:t>
      </w:r>
    </w:p>
    <w:p w:rsidR="00000000" w:rsidDel="00000000" w:rsidP="00000000" w:rsidRDefault="00000000" w:rsidRPr="00000000" w14:paraId="0000003B">
      <w:pPr>
        <w:spacing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ТУ 10.89.19-104-66999749-2020</w:t>
      </w:r>
    </w:p>
    <w:p w:rsidR="00000000" w:rsidDel="00000000" w:rsidP="00000000" w:rsidRDefault="00000000" w:rsidRPr="00000000" w14:paraId="0000003C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before="120" w:line="240" w:lineRule="auto"/>
        <w:jc w:val="both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9978" w:w="7087" w:orient="portrait"/>
      <w:pgMar w:bottom="567" w:top="284" w:left="425" w:right="425" w:header="0" w:footer="19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706736"/>
    <w:rPr>
      <w:rFonts w:eastAsiaTheme="minorEastAsia"/>
      <w:lang w:eastAsia="ru-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-" w:customStyle="1">
    <w:name w:val="Интернет-ссылка"/>
    <w:basedOn w:val="a0"/>
    <w:uiPriority w:val="99"/>
    <w:unhideWhenUsed w:val="1"/>
    <w:rsid w:val="00706736"/>
    <w:rPr>
      <w:color w:val="0000ff" w:themeColor="hyperlink"/>
      <w:u w:val="single"/>
    </w:rPr>
  </w:style>
  <w:style w:type="paragraph" w:styleId="Footer" w:customStyle="1">
    <w:name w:val="Footer"/>
    <w:basedOn w:val="a"/>
    <w:uiPriority w:val="99"/>
    <w:unhideWhenUsed w:val="1"/>
    <w:rsid w:val="00706736"/>
    <w:pPr>
      <w:tabs>
        <w:tab w:val="center" w:pos="4677"/>
        <w:tab w:val="right" w:pos="9355"/>
      </w:tabs>
      <w:spacing w:after="0" w:line="240" w:lineRule="auto"/>
    </w:pPr>
  </w:style>
  <w:style w:type="paragraph" w:styleId="a3">
    <w:name w:val="header"/>
    <w:basedOn w:val="a"/>
    <w:link w:val="a4"/>
    <w:uiPriority w:val="99"/>
    <w:semiHidden w:val="1"/>
    <w:unhideWhenUsed w:val="1"/>
    <w:rsid w:val="00653433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1">
    <w:name w:val="Верхний колонтитул Знак"/>
    <w:basedOn w:val="a0"/>
    <w:link w:val="a3"/>
    <w:uiPriority w:val="99"/>
    <w:semiHidden w:val="1"/>
    <w:rsid w:val="00653433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 w:val="1"/>
    <w:unhideWhenUsed w:val="1"/>
    <w:rsid w:val="00653433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1">
    <w:name w:val="Нижний колонтитул Знак"/>
    <w:basedOn w:val="a0"/>
    <w:link w:val="a5"/>
    <w:uiPriority w:val="99"/>
    <w:semiHidden w:val="1"/>
    <w:rsid w:val="00653433"/>
    <w:rPr>
      <w:rFonts w:eastAsiaTheme="minorEastAsia"/>
      <w:lang w:eastAsia="ru-RU"/>
    </w:rPr>
  </w:style>
  <w:style w:type="character" w:styleId="a7">
    <w:name w:val="annotation reference"/>
    <w:basedOn w:val="a0"/>
    <w:uiPriority w:val="99"/>
    <w:semiHidden w:val="1"/>
    <w:unhideWhenUsed w:val="1"/>
    <w:rsid w:val="00583544"/>
    <w:rPr>
      <w:sz w:val="16"/>
      <w:szCs w:val="16"/>
    </w:rPr>
  </w:style>
  <w:style w:type="paragraph" w:styleId="a8">
    <w:name w:val="annotation text"/>
    <w:basedOn w:val="a"/>
    <w:link w:val="a9"/>
    <w:uiPriority w:val="99"/>
    <w:semiHidden w:val="1"/>
    <w:unhideWhenUsed w:val="1"/>
    <w:rsid w:val="00583544"/>
    <w:pPr>
      <w:spacing w:line="240" w:lineRule="auto"/>
    </w:pPr>
    <w:rPr>
      <w:sz w:val="20"/>
      <w:szCs w:val="20"/>
    </w:rPr>
  </w:style>
  <w:style w:type="character" w:styleId="a9" w:customStyle="1">
    <w:name w:val="Текст примечания Знак"/>
    <w:basedOn w:val="a0"/>
    <w:link w:val="a8"/>
    <w:uiPriority w:val="99"/>
    <w:semiHidden w:val="1"/>
    <w:rsid w:val="00583544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 w:val="1"/>
    <w:unhideWhenUsed w:val="1"/>
    <w:rsid w:val="00583544"/>
    <w:rPr>
      <w:b w:val="1"/>
      <w:bCs w:val="1"/>
    </w:rPr>
  </w:style>
  <w:style w:type="character" w:styleId="ab" w:customStyle="1">
    <w:name w:val="Тема примечания Знак"/>
    <w:basedOn w:val="a9"/>
    <w:link w:val="aa"/>
    <w:uiPriority w:val="99"/>
    <w:semiHidden w:val="1"/>
    <w:rsid w:val="00583544"/>
    <w:rPr>
      <w:b w:val="1"/>
      <w:bCs w:val="1"/>
    </w:rPr>
  </w:style>
  <w:style w:type="paragraph" w:styleId="ac">
    <w:name w:val="Balloon Text"/>
    <w:basedOn w:val="a"/>
    <w:link w:val="ad"/>
    <w:uiPriority w:val="99"/>
    <w:semiHidden w:val="1"/>
    <w:unhideWhenUsed w:val="1"/>
    <w:rsid w:val="00583544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d" w:customStyle="1">
    <w:name w:val="Текст выноски Знак"/>
    <w:basedOn w:val="a0"/>
    <w:link w:val="ac"/>
    <w:uiPriority w:val="99"/>
    <w:semiHidden w:val="1"/>
    <w:rsid w:val="00583544"/>
    <w:rPr>
      <w:rFonts w:ascii="Tahoma" w:cs="Tahoma" w:hAnsi="Tahoma" w:eastAsiaTheme="minorEastAsia"/>
      <w:sz w:val="16"/>
      <w:szCs w:val="16"/>
      <w:lang w:eastAsia="ru-RU"/>
    </w:rPr>
  </w:style>
  <w:style w:type="paragraph" w:styleId="ae">
    <w:name w:val="Revision"/>
    <w:hidden w:val="1"/>
    <w:uiPriority w:val="99"/>
    <w:semiHidden w:val="1"/>
    <w:rsid w:val="00565DC9"/>
    <w:pPr>
      <w:spacing w:after="0" w:line="240" w:lineRule="auto"/>
    </w:pPr>
    <w:rPr>
      <w:rFonts w:eastAsiaTheme="minorEastAsia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www.kvadra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X4lSvtTyc+/+/IfISmR4vQyYFXA==">AMUW2mUAtmAzSQWZrJgG15K4Imzh55L2dcsuvHMYfb+aXCPXt/wEn57pvjEG6dN3osH+bCJFfDIlQe09rUpKW5prQ9d94Zx/XmPnycQv/fIagOhipK+2DZr5CVUhFBc6qwqgS71ft3s6ZtcTQFgLemZtLGaYAc0BRoMbKuhT79v/MZLPNEJmEVLOR1f0rTPT2DSMuTf+oilqdlxLJ17bW0c1Im/Kgx2fX1FV2q643EkJUvZuzFzbOO0aJmcWJt1fyfV4UkmPi+B0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2021-04-28T07:35:00Z</dcterms:created>
  <dc:creator>Ксения Лямина</dc:creator>
</cp:coreProperties>
</file>